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A5A6" w14:textId="77777777" w:rsidR="00EF4513" w:rsidRPr="00EF4513" w:rsidRDefault="00EF4513" w:rsidP="00EF4513">
      <w:pPr>
        <w:jc w:val="center"/>
        <w:rPr>
          <w:rFonts w:asciiTheme="majorHAnsi" w:hAnsiTheme="majorHAnsi"/>
          <w:sz w:val="26"/>
          <w:szCs w:val="26"/>
        </w:rPr>
      </w:pPr>
      <w:r w:rsidRPr="00EF4513">
        <w:rPr>
          <w:rFonts w:asciiTheme="majorHAnsi" w:hAnsiTheme="majorHAnsi"/>
          <w:sz w:val="26"/>
          <w:szCs w:val="26"/>
        </w:rPr>
        <w:t xml:space="preserve">SP1: </w:t>
      </w:r>
      <w:r w:rsidRPr="00EF4513">
        <w:rPr>
          <w:rFonts w:asciiTheme="majorHAnsi" w:hAnsiTheme="majorHAnsi" w:cs="Times"/>
          <w:sz w:val="26"/>
          <w:szCs w:val="26"/>
        </w:rPr>
        <w:t>Introduction to the Languages, Literatures and Cultures of the Spanish-speaking World</w:t>
      </w:r>
    </w:p>
    <w:p w14:paraId="7B33BDBA" w14:textId="77777777" w:rsidR="00EF4513" w:rsidRDefault="00EF4513" w:rsidP="00EF4513">
      <w:pPr>
        <w:jc w:val="center"/>
        <w:rPr>
          <w:rFonts w:ascii="Calibri" w:hAnsi="Calibri"/>
          <w:sz w:val="28"/>
          <w:szCs w:val="28"/>
        </w:rPr>
      </w:pPr>
      <w:r>
        <w:rPr>
          <w:rFonts w:ascii="Calibri" w:hAnsi="Calibri"/>
          <w:sz w:val="28"/>
          <w:szCs w:val="28"/>
        </w:rPr>
        <w:t>___________________________________________</w:t>
      </w:r>
    </w:p>
    <w:p w14:paraId="0B02730C" w14:textId="77777777" w:rsidR="00EF4513" w:rsidRPr="00AC7072" w:rsidRDefault="00EF4513" w:rsidP="00AC7072">
      <w:pPr>
        <w:rPr>
          <w:rFonts w:ascii="Calibri" w:hAnsi="Calibri"/>
          <w:sz w:val="16"/>
          <w:szCs w:val="16"/>
        </w:rPr>
      </w:pPr>
    </w:p>
    <w:p w14:paraId="78044B2E" w14:textId="77777777" w:rsidR="00EF4513" w:rsidRPr="003B0CC6" w:rsidRDefault="00EF4513" w:rsidP="00EF4513">
      <w:pPr>
        <w:jc w:val="center"/>
        <w:rPr>
          <w:rFonts w:ascii="Calibri" w:hAnsi="Calibri"/>
          <w:b/>
          <w:sz w:val="28"/>
          <w:szCs w:val="28"/>
        </w:rPr>
      </w:pPr>
      <w:r w:rsidRPr="003B0CC6">
        <w:rPr>
          <w:rFonts w:ascii="Calibri" w:hAnsi="Calibri"/>
          <w:b/>
          <w:sz w:val="28"/>
          <w:szCs w:val="28"/>
        </w:rPr>
        <w:t xml:space="preserve">Icíar Bollaín, </w:t>
      </w:r>
      <w:r w:rsidRPr="003B0CC6">
        <w:rPr>
          <w:rFonts w:ascii="Calibri" w:hAnsi="Calibri"/>
          <w:b/>
          <w:i/>
          <w:sz w:val="28"/>
          <w:szCs w:val="28"/>
        </w:rPr>
        <w:t>También la lluvia</w:t>
      </w:r>
      <w:r w:rsidRPr="003B0CC6">
        <w:rPr>
          <w:rFonts w:ascii="Calibri" w:hAnsi="Calibri"/>
          <w:b/>
          <w:sz w:val="28"/>
          <w:szCs w:val="28"/>
        </w:rPr>
        <w:t xml:space="preserve"> (Spain/France/Mexico, 2010)</w:t>
      </w:r>
    </w:p>
    <w:p w14:paraId="57C509E9" w14:textId="77777777" w:rsidR="00EF4513" w:rsidRDefault="00EF4513" w:rsidP="00EF4513"/>
    <w:p w14:paraId="2F45F98B" w14:textId="77777777" w:rsidR="00EF4513" w:rsidRPr="00AC7072" w:rsidRDefault="00EF4513" w:rsidP="00EF4513">
      <w:pPr>
        <w:pStyle w:val="Heading2"/>
        <w:rPr>
          <w:rFonts w:ascii="Calibri" w:hAnsi="Calibri"/>
          <w:b/>
          <w:sz w:val="24"/>
        </w:rPr>
      </w:pPr>
      <w:r w:rsidRPr="00AC7072">
        <w:rPr>
          <w:rFonts w:ascii="Calibri" w:hAnsi="Calibri"/>
          <w:b/>
          <w:sz w:val="24"/>
        </w:rPr>
        <w:t>Lecture Map</w:t>
      </w:r>
      <w:bookmarkStart w:id="0" w:name="_GoBack"/>
      <w:bookmarkEnd w:id="0"/>
    </w:p>
    <w:p w14:paraId="2A8308D0" w14:textId="77777777" w:rsidR="00EF4513" w:rsidRPr="00EF4513" w:rsidRDefault="00EF4513" w:rsidP="00EF4513"/>
    <w:p w14:paraId="7FF5D9B1" w14:textId="77777777" w:rsidR="00EF4513" w:rsidRPr="00AC7072" w:rsidRDefault="00EF4513" w:rsidP="00EF4513">
      <w:pPr>
        <w:pStyle w:val="ListParagraph"/>
        <w:numPr>
          <w:ilvl w:val="0"/>
          <w:numId w:val="1"/>
        </w:numPr>
        <w:rPr>
          <w:sz w:val="22"/>
          <w:szCs w:val="22"/>
        </w:rPr>
      </w:pPr>
      <w:r w:rsidRPr="00AC7072">
        <w:rPr>
          <w:sz w:val="22"/>
          <w:szCs w:val="22"/>
        </w:rPr>
        <w:t>The director: Icíar Bollaín</w:t>
      </w:r>
    </w:p>
    <w:p w14:paraId="15AD5C1B" w14:textId="77777777" w:rsidR="00EF4513" w:rsidRPr="00AC7072" w:rsidRDefault="00EF4513" w:rsidP="00EF4513">
      <w:pPr>
        <w:pStyle w:val="ListParagraph"/>
        <w:numPr>
          <w:ilvl w:val="0"/>
          <w:numId w:val="1"/>
        </w:numPr>
        <w:rPr>
          <w:sz w:val="22"/>
          <w:szCs w:val="22"/>
        </w:rPr>
      </w:pPr>
      <w:r w:rsidRPr="00AC7072">
        <w:rPr>
          <w:i/>
          <w:sz w:val="22"/>
          <w:szCs w:val="22"/>
        </w:rPr>
        <w:t>También la lluvia</w:t>
      </w:r>
      <w:r w:rsidRPr="00AC7072">
        <w:rPr>
          <w:sz w:val="22"/>
          <w:szCs w:val="22"/>
        </w:rPr>
        <w:t xml:space="preserve">: an introduction </w:t>
      </w:r>
    </w:p>
    <w:p w14:paraId="36B33494" w14:textId="77777777" w:rsidR="00EF4513" w:rsidRPr="00AC7072" w:rsidRDefault="00EF4513" w:rsidP="00EF4513">
      <w:pPr>
        <w:pStyle w:val="ListParagraph"/>
        <w:numPr>
          <w:ilvl w:val="0"/>
          <w:numId w:val="1"/>
        </w:numPr>
        <w:rPr>
          <w:sz w:val="22"/>
          <w:szCs w:val="22"/>
        </w:rPr>
      </w:pPr>
      <w:r w:rsidRPr="00AC7072">
        <w:rPr>
          <w:sz w:val="22"/>
          <w:szCs w:val="22"/>
        </w:rPr>
        <w:t>The ‘Water War’ in Cochabamba, 2000</w:t>
      </w:r>
    </w:p>
    <w:p w14:paraId="13F4D128" w14:textId="77777777" w:rsidR="00EF4513" w:rsidRPr="00AC7072" w:rsidRDefault="00EF4513" w:rsidP="00EF4513">
      <w:pPr>
        <w:pStyle w:val="ListParagraph"/>
        <w:numPr>
          <w:ilvl w:val="0"/>
          <w:numId w:val="1"/>
        </w:numPr>
        <w:rPr>
          <w:sz w:val="22"/>
          <w:szCs w:val="22"/>
        </w:rPr>
      </w:pPr>
      <w:r w:rsidRPr="00AC7072">
        <w:rPr>
          <w:sz w:val="22"/>
          <w:szCs w:val="22"/>
        </w:rPr>
        <w:t>Privatization and neoliberalism in Bolivia</w:t>
      </w:r>
    </w:p>
    <w:p w14:paraId="3208B8A2" w14:textId="77777777" w:rsidR="00EF4513" w:rsidRPr="00AC7072" w:rsidRDefault="00EF4513" w:rsidP="00EF4513">
      <w:pPr>
        <w:pStyle w:val="ListParagraph"/>
        <w:numPr>
          <w:ilvl w:val="0"/>
          <w:numId w:val="1"/>
        </w:numPr>
        <w:rPr>
          <w:sz w:val="22"/>
          <w:szCs w:val="22"/>
        </w:rPr>
      </w:pPr>
      <w:r w:rsidRPr="00AC7072">
        <w:rPr>
          <w:sz w:val="22"/>
          <w:szCs w:val="22"/>
        </w:rPr>
        <w:t>A metacinematic film</w:t>
      </w:r>
    </w:p>
    <w:p w14:paraId="139FF52C" w14:textId="77777777" w:rsidR="00EF4513" w:rsidRPr="00AC7072" w:rsidRDefault="00EF4513" w:rsidP="00EF4513">
      <w:pPr>
        <w:pStyle w:val="ListParagraph"/>
        <w:numPr>
          <w:ilvl w:val="0"/>
          <w:numId w:val="1"/>
        </w:numPr>
        <w:rPr>
          <w:sz w:val="22"/>
          <w:szCs w:val="22"/>
        </w:rPr>
      </w:pPr>
      <w:r w:rsidRPr="00AC7072">
        <w:rPr>
          <w:sz w:val="22"/>
          <w:szCs w:val="22"/>
        </w:rPr>
        <w:t>Filming styles and techniques</w:t>
      </w:r>
    </w:p>
    <w:p w14:paraId="7A8D560C" w14:textId="77777777" w:rsidR="00EF4513" w:rsidRPr="00AC7072" w:rsidRDefault="00EF4513" w:rsidP="00EF4513">
      <w:pPr>
        <w:pStyle w:val="ListParagraph"/>
        <w:numPr>
          <w:ilvl w:val="0"/>
          <w:numId w:val="1"/>
        </w:numPr>
        <w:rPr>
          <w:sz w:val="22"/>
          <w:szCs w:val="22"/>
        </w:rPr>
      </w:pPr>
      <w:r w:rsidRPr="00AC7072">
        <w:rPr>
          <w:sz w:val="22"/>
          <w:szCs w:val="22"/>
        </w:rPr>
        <w:t>Colonial and contemporary times: some key parallels</w:t>
      </w:r>
    </w:p>
    <w:p w14:paraId="1B2B0BFD" w14:textId="77777777" w:rsidR="00EF4513" w:rsidRPr="00AC7072" w:rsidRDefault="00EF4513" w:rsidP="00EF4513">
      <w:pPr>
        <w:pStyle w:val="ListParagraph"/>
        <w:numPr>
          <w:ilvl w:val="0"/>
          <w:numId w:val="1"/>
        </w:numPr>
        <w:rPr>
          <w:sz w:val="22"/>
          <w:szCs w:val="22"/>
        </w:rPr>
      </w:pPr>
      <w:r w:rsidRPr="00AC7072">
        <w:rPr>
          <w:sz w:val="22"/>
          <w:szCs w:val="22"/>
        </w:rPr>
        <w:t>Power and resistance</w:t>
      </w:r>
    </w:p>
    <w:p w14:paraId="5D77A5AD" w14:textId="77777777" w:rsidR="00EF4513" w:rsidRPr="00AC7072" w:rsidRDefault="00EF4513" w:rsidP="00EF4513">
      <w:pPr>
        <w:pStyle w:val="ListParagraph"/>
        <w:numPr>
          <w:ilvl w:val="0"/>
          <w:numId w:val="1"/>
        </w:numPr>
        <w:rPr>
          <w:sz w:val="22"/>
          <w:szCs w:val="22"/>
        </w:rPr>
      </w:pPr>
      <w:r w:rsidRPr="00AC7072">
        <w:rPr>
          <w:sz w:val="22"/>
          <w:szCs w:val="22"/>
        </w:rPr>
        <w:t>The transnational co-production and the politics of representation</w:t>
      </w:r>
    </w:p>
    <w:p w14:paraId="521BC399" w14:textId="77777777" w:rsidR="00EF4513" w:rsidRPr="00AC7072" w:rsidRDefault="00EF4513" w:rsidP="00EF4513">
      <w:pPr>
        <w:pStyle w:val="ListParagraph"/>
        <w:widowControl w:val="0"/>
        <w:numPr>
          <w:ilvl w:val="0"/>
          <w:numId w:val="1"/>
        </w:numPr>
        <w:autoSpaceDE w:val="0"/>
        <w:autoSpaceDN w:val="0"/>
        <w:adjustRightInd w:val="0"/>
        <w:rPr>
          <w:rFonts w:cs="Times"/>
          <w:sz w:val="22"/>
          <w:szCs w:val="22"/>
        </w:rPr>
      </w:pPr>
      <w:r w:rsidRPr="00AC7072">
        <w:rPr>
          <w:rFonts w:cs="Times"/>
          <w:sz w:val="22"/>
          <w:szCs w:val="22"/>
        </w:rPr>
        <w:t>Transnational filmmaking and neocolonial enterprise</w:t>
      </w:r>
    </w:p>
    <w:p w14:paraId="0E2BB80D" w14:textId="77777777" w:rsidR="00EF4513" w:rsidRPr="00AC7072" w:rsidRDefault="00EF4513" w:rsidP="00EF4513">
      <w:pPr>
        <w:pStyle w:val="ListParagraph"/>
        <w:numPr>
          <w:ilvl w:val="0"/>
          <w:numId w:val="1"/>
        </w:numPr>
        <w:rPr>
          <w:sz w:val="22"/>
          <w:szCs w:val="22"/>
        </w:rPr>
      </w:pPr>
      <w:r w:rsidRPr="00AC7072">
        <w:rPr>
          <w:sz w:val="22"/>
          <w:szCs w:val="22"/>
        </w:rPr>
        <w:t>The (imperialist) politics of the gaze</w:t>
      </w:r>
    </w:p>
    <w:p w14:paraId="4AAF2247" w14:textId="77777777" w:rsidR="00EF4513" w:rsidRDefault="00EF4513" w:rsidP="00EF4513">
      <w:pPr>
        <w:rPr>
          <w:b/>
        </w:rPr>
      </w:pPr>
    </w:p>
    <w:p w14:paraId="3BC2D90E" w14:textId="61AE9F85" w:rsidR="001E7F94" w:rsidRPr="00AC7072" w:rsidRDefault="00AC7072" w:rsidP="00EF4513">
      <w:pPr>
        <w:rPr>
          <w:rFonts w:asciiTheme="majorHAnsi" w:hAnsiTheme="majorHAnsi"/>
          <w:b/>
        </w:rPr>
      </w:pPr>
      <w:r>
        <w:rPr>
          <w:rFonts w:asciiTheme="majorHAnsi" w:hAnsiTheme="majorHAnsi"/>
          <w:b/>
        </w:rPr>
        <w:t>Citations</w:t>
      </w:r>
    </w:p>
    <w:p w14:paraId="3D0DD111" w14:textId="77777777" w:rsidR="001E7F94" w:rsidRDefault="001E7F94" w:rsidP="00EF4513">
      <w:pPr>
        <w:rPr>
          <w:b/>
        </w:rPr>
      </w:pPr>
    </w:p>
    <w:p w14:paraId="561A50FE" w14:textId="77777777" w:rsidR="001E7F94" w:rsidRPr="00AC7072" w:rsidRDefault="001E7F94" w:rsidP="00EF4513">
      <w:pPr>
        <w:rPr>
          <w:rFonts w:cs="Verdana"/>
          <w:color w:val="323232"/>
          <w:sz w:val="22"/>
          <w:szCs w:val="22"/>
        </w:rPr>
      </w:pPr>
      <w:r w:rsidRPr="00AC7072">
        <w:rPr>
          <w:rFonts w:cs="Verdana"/>
          <w:color w:val="323232"/>
          <w:sz w:val="22"/>
          <w:szCs w:val="22"/>
        </w:rPr>
        <w:t xml:space="preserve">[1] ‘By laying the high-flying rhetoric of Sebastián and his cohorts against their craven-seeming refusal to get involved in the actual anti-imperialist struggle erupting around them (preferring to hide in the safe, easily-resolved moral struggles of the past), Laverty creates one of cinema’s most vicious critiques of limousine liberalism.’ </w:t>
      </w:r>
    </w:p>
    <w:p w14:paraId="4AA1F59E" w14:textId="77777777" w:rsidR="001E7F94" w:rsidRPr="00826369" w:rsidRDefault="001E7F94" w:rsidP="00EF4513">
      <w:pPr>
        <w:rPr>
          <w:b/>
          <w:sz w:val="20"/>
          <w:szCs w:val="20"/>
        </w:rPr>
      </w:pPr>
      <w:r w:rsidRPr="00826369">
        <w:rPr>
          <w:sz w:val="20"/>
          <w:szCs w:val="20"/>
        </w:rPr>
        <w:t>Barsanti, Chris. ‘</w:t>
      </w:r>
      <w:r w:rsidRPr="00826369">
        <w:rPr>
          <w:rFonts w:cs="Georgia"/>
          <w:sz w:val="20"/>
          <w:szCs w:val="20"/>
        </w:rPr>
        <w:t>“Even the Rain” by Icíar Bollaín’ [review] (4 March 2011), at https://latinamericanfilm.wordpress.com/2011/03/04/film-of-the-week-even-the-rain-by-iciar-bollain-review-trailer/</w:t>
      </w:r>
    </w:p>
    <w:p w14:paraId="425883F7" w14:textId="77777777" w:rsidR="001E7F94" w:rsidRPr="00AC7072" w:rsidRDefault="001E7F94" w:rsidP="00EF4513">
      <w:pPr>
        <w:rPr>
          <w:rFonts w:asciiTheme="majorHAnsi" w:hAnsiTheme="majorHAnsi"/>
          <w:b/>
          <w:sz w:val="22"/>
          <w:szCs w:val="22"/>
        </w:rPr>
      </w:pPr>
    </w:p>
    <w:p w14:paraId="58CB8534" w14:textId="77777777" w:rsidR="001E7F94" w:rsidRPr="00AC7072" w:rsidRDefault="001E7F94" w:rsidP="00EF4513">
      <w:pPr>
        <w:rPr>
          <w:rFonts w:cs="Times"/>
          <w:sz w:val="22"/>
          <w:szCs w:val="22"/>
        </w:rPr>
      </w:pPr>
      <w:r w:rsidRPr="00AC7072">
        <w:rPr>
          <w:sz w:val="22"/>
          <w:szCs w:val="22"/>
        </w:rPr>
        <w:t xml:space="preserve">[2] </w:t>
      </w:r>
      <w:r w:rsidRPr="00AC7072">
        <w:rPr>
          <w:rFonts w:cs="Times"/>
          <w:sz w:val="22"/>
          <w:szCs w:val="22"/>
        </w:rPr>
        <w:t xml:space="preserve">‘the concept of national cinema is hardly able to do justice either to the international diversity of contemporary cultural formations or to the overlaps and interpenetrations between different formations.’ </w:t>
      </w:r>
    </w:p>
    <w:p w14:paraId="12C1FA01" w14:textId="77777777" w:rsidR="001E7F94" w:rsidRPr="00826369" w:rsidRDefault="001E7F94" w:rsidP="00EF4513">
      <w:pPr>
        <w:rPr>
          <w:rFonts w:asciiTheme="majorHAnsi" w:hAnsiTheme="majorHAnsi"/>
          <w:b/>
          <w:sz w:val="20"/>
          <w:szCs w:val="20"/>
        </w:rPr>
      </w:pPr>
      <w:r w:rsidRPr="00826369">
        <w:rPr>
          <w:sz w:val="20"/>
          <w:szCs w:val="20"/>
        </w:rPr>
        <w:t xml:space="preserve">Andrew Higson, ‘The Limiting Imagination of National Cinema,’ in </w:t>
      </w:r>
      <w:r w:rsidRPr="00826369">
        <w:rPr>
          <w:i/>
          <w:sz w:val="20"/>
          <w:szCs w:val="20"/>
        </w:rPr>
        <w:t>Cinema and Nation</w:t>
      </w:r>
      <w:r w:rsidRPr="00826369">
        <w:rPr>
          <w:sz w:val="20"/>
          <w:szCs w:val="20"/>
        </w:rPr>
        <w:t>, ed. Mette Hjort and Scott Mackenzie (London: Routledge, 2000), pp. 63-74 (p. 70)</w:t>
      </w:r>
    </w:p>
    <w:p w14:paraId="36A0B13C" w14:textId="77777777" w:rsidR="001E7F94" w:rsidRPr="00AC7072" w:rsidRDefault="001E7F94" w:rsidP="00EF4513">
      <w:pPr>
        <w:rPr>
          <w:rFonts w:asciiTheme="majorHAnsi" w:hAnsiTheme="majorHAnsi"/>
          <w:b/>
          <w:sz w:val="22"/>
          <w:szCs w:val="22"/>
        </w:rPr>
      </w:pPr>
    </w:p>
    <w:p w14:paraId="4DBC1F77" w14:textId="77777777" w:rsidR="001E7F94" w:rsidRPr="00AC7072" w:rsidRDefault="001E7F94" w:rsidP="00EF4513">
      <w:pPr>
        <w:rPr>
          <w:rFonts w:cs="Times"/>
          <w:sz w:val="22"/>
          <w:szCs w:val="22"/>
        </w:rPr>
      </w:pPr>
      <w:r w:rsidRPr="00AC7072">
        <w:rPr>
          <w:sz w:val="22"/>
          <w:szCs w:val="22"/>
        </w:rPr>
        <w:t>[3] ‘</w:t>
      </w:r>
      <w:r w:rsidRPr="00AC7072">
        <w:rPr>
          <w:rFonts w:cs="Times"/>
          <w:sz w:val="22"/>
          <w:szCs w:val="22"/>
        </w:rPr>
        <w:t>There is no doubt that co-productions can easily become sites of cultural misunderstandings and generalizations rather than ethnographic expeditions of discovery. Cinematographies from different continents have at times successfully appropriated each other’s languages for their own political and economic purposes.’</w:t>
      </w:r>
    </w:p>
    <w:p w14:paraId="450FFBCF" w14:textId="77777777" w:rsidR="001E7F94" w:rsidRPr="00826369" w:rsidRDefault="001E7F94" w:rsidP="001E7F94">
      <w:pPr>
        <w:widowControl w:val="0"/>
        <w:tabs>
          <w:tab w:val="left" w:pos="0"/>
          <w:tab w:val="left" w:pos="220"/>
        </w:tabs>
        <w:autoSpaceDE w:val="0"/>
        <w:autoSpaceDN w:val="0"/>
        <w:adjustRightInd w:val="0"/>
        <w:ind w:left="-11"/>
        <w:rPr>
          <w:rStyle w:val="Hyperlink"/>
          <w:rFonts w:ascii="Cambria" w:hAnsi="Cambria" w:cs="Verdana"/>
          <w:sz w:val="20"/>
          <w:szCs w:val="20"/>
        </w:rPr>
      </w:pPr>
      <w:r w:rsidRPr="00826369">
        <w:rPr>
          <w:rFonts w:ascii="Cambria" w:hAnsi="Cambria" w:cs="Verdana"/>
          <w:color w:val="121212"/>
          <w:sz w:val="20"/>
          <w:szCs w:val="20"/>
        </w:rPr>
        <w:t xml:space="preserve">Fabrizio Cilento, ‘Even the Rain: A Confluence of Cinematic and Historical Temporalities’, in </w:t>
      </w:r>
      <w:r w:rsidRPr="00826369">
        <w:rPr>
          <w:rFonts w:ascii="Cambria" w:hAnsi="Cambria" w:cs="Verdana"/>
          <w:i/>
          <w:iCs/>
          <w:color w:val="121212"/>
          <w:sz w:val="20"/>
          <w:szCs w:val="20"/>
        </w:rPr>
        <w:t>Arizona Journal of Hispanic Cultural Studies</w:t>
      </w:r>
      <w:r w:rsidRPr="00826369">
        <w:rPr>
          <w:rFonts w:ascii="Cambria" w:hAnsi="Cambria" w:cs="Verdana"/>
          <w:color w:val="121212"/>
          <w:sz w:val="20"/>
          <w:szCs w:val="20"/>
        </w:rPr>
        <w:t>, vol. 16 (2012), 245-58 (p. 251), at</w:t>
      </w:r>
      <w:r w:rsidRPr="00826369">
        <w:rPr>
          <w:rFonts w:ascii="Cambria" w:hAnsi="Cambria" w:cs="Verdana"/>
          <w:color w:val="121212"/>
          <w:sz w:val="20"/>
          <w:szCs w:val="20"/>
        </w:rPr>
        <w:tab/>
      </w:r>
      <w:hyperlink r:id="rId6" w:history="1">
        <w:r w:rsidRPr="00826369">
          <w:rPr>
            <w:rStyle w:val="Hyperlink"/>
            <w:rFonts w:ascii="Cambria" w:hAnsi="Cambria" w:cs="Verdana"/>
            <w:sz w:val="20"/>
            <w:szCs w:val="20"/>
          </w:rPr>
          <w:t>http://fabriziocilento.com/wordpress/wp-content/uploads/2013/04/Even-the-Rain.pdf</w:t>
        </w:r>
      </w:hyperlink>
    </w:p>
    <w:p w14:paraId="67B1E89C" w14:textId="77777777" w:rsidR="00C33EE3" w:rsidRPr="00AC7072" w:rsidRDefault="00C33EE3" w:rsidP="001E7F94">
      <w:pPr>
        <w:widowControl w:val="0"/>
        <w:tabs>
          <w:tab w:val="left" w:pos="0"/>
          <w:tab w:val="left" w:pos="220"/>
        </w:tabs>
        <w:autoSpaceDE w:val="0"/>
        <w:autoSpaceDN w:val="0"/>
        <w:adjustRightInd w:val="0"/>
        <w:ind w:left="-11"/>
        <w:rPr>
          <w:rFonts w:ascii="Cambria" w:hAnsi="Cambria" w:cs="Verdana"/>
          <w:color w:val="121212"/>
          <w:sz w:val="22"/>
          <w:szCs w:val="22"/>
        </w:rPr>
      </w:pPr>
    </w:p>
    <w:p w14:paraId="2F35A1FB" w14:textId="2F5BB552" w:rsidR="00C33EE3" w:rsidRPr="00AC7072" w:rsidRDefault="00C33EE3" w:rsidP="001E7F94">
      <w:pPr>
        <w:widowControl w:val="0"/>
        <w:tabs>
          <w:tab w:val="left" w:pos="0"/>
          <w:tab w:val="left" w:pos="220"/>
        </w:tabs>
        <w:autoSpaceDE w:val="0"/>
        <w:autoSpaceDN w:val="0"/>
        <w:adjustRightInd w:val="0"/>
        <w:ind w:left="-11"/>
        <w:rPr>
          <w:sz w:val="22"/>
          <w:szCs w:val="22"/>
        </w:rPr>
      </w:pPr>
      <w:r w:rsidRPr="00AC7072">
        <w:rPr>
          <w:rFonts w:ascii="Cambria" w:hAnsi="Cambria" w:cs="Verdana"/>
          <w:color w:val="121212"/>
          <w:sz w:val="22"/>
          <w:szCs w:val="22"/>
        </w:rPr>
        <w:t>[4]</w:t>
      </w:r>
      <w:r w:rsidRPr="00AC7072">
        <w:rPr>
          <w:sz w:val="22"/>
          <w:szCs w:val="22"/>
        </w:rPr>
        <w:t xml:space="preserve"> ‘Latin America is both a site and a sight, a representation of a place that is displaced beyond physical space through discourses and images. We can expect that with globalization Latin American will appear an ever greater part of everyone’s landscape and material culture. But in so doing the geographical imagination may also place Latin America as further away, as different, as more “exotic”. In earlier travel writing this was achieved by representing Latin America as nature, pastoral productivity or a space of disease, laziness, immorality, violence, compared to which Europe was perceived as superior. Many of these representations are invoked today in the marketing of gourmet coffee and on our television screens.’</w:t>
      </w:r>
    </w:p>
    <w:p w14:paraId="1ED7C299" w14:textId="6183583C" w:rsidR="00C33EE3" w:rsidRPr="00826369" w:rsidRDefault="00C33EE3" w:rsidP="001E7F94">
      <w:pPr>
        <w:widowControl w:val="0"/>
        <w:tabs>
          <w:tab w:val="left" w:pos="0"/>
          <w:tab w:val="left" w:pos="220"/>
        </w:tabs>
        <w:autoSpaceDE w:val="0"/>
        <w:autoSpaceDN w:val="0"/>
        <w:adjustRightInd w:val="0"/>
        <w:ind w:left="-11"/>
        <w:rPr>
          <w:rFonts w:cs="Arial"/>
          <w:color w:val="262626"/>
          <w:sz w:val="20"/>
          <w:szCs w:val="20"/>
        </w:rPr>
      </w:pPr>
      <w:r w:rsidRPr="00826369">
        <w:rPr>
          <w:sz w:val="20"/>
          <w:szCs w:val="20"/>
        </w:rPr>
        <w:t xml:space="preserve">Gareth A. Jones, ‘Latin American Geographies’ in Philip Swanson, ed., </w:t>
      </w:r>
      <w:r w:rsidRPr="00826369">
        <w:rPr>
          <w:rFonts w:cs="Arial"/>
          <w:bCs/>
          <w:i/>
          <w:color w:val="262626"/>
          <w:sz w:val="20"/>
          <w:szCs w:val="20"/>
        </w:rPr>
        <w:t>The Companion to Latin American Studies</w:t>
      </w:r>
      <w:r w:rsidRPr="00826369">
        <w:rPr>
          <w:rFonts w:cs="Arial"/>
          <w:bCs/>
          <w:color w:val="262626"/>
          <w:sz w:val="20"/>
          <w:szCs w:val="20"/>
        </w:rPr>
        <w:t xml:space="preserve"> (London: Arnold, 2013), pp. 5-</w:t>
      </w:r>
      <w:r w:rsidRPr="00AC7072">
        <w:rPr>
          <w:rFonts w:cs="Arial"/>
          <w:bCs/>
          <w:color w:val="262626"/>
          <w:sz w:val="20"/>
          <w:szCs w:val="20"/>
        </w:rPr>
        <w:t xml:space="preserve">25 (p. </w:t>
      </w:r>
      <w:r w:rsidR="00AC7072" w:rsidRPr="00AC7072">
        <w:rPr>
          <w:rFonts w:cs="Arial"/>
          <w:color w:val="262626"/>
          <w:sz w:val="20"/>
          <w:szCs w:val="20"/>
        </w:rPr>
        <w:t>20</w:t>
      </w:r>
      <w:r w:rsidRPr="00AC7072">
        <w:rPr>
          <w:rFonts w:cs="Arial"/>
          <w:color w:val="262626"/>
          <w:sz w:val="20"/>
          <w:szCs w:val="20"/>
        </w:rPr>
        <w:t>)</w:t>
      </w:r>
    </w:p>
    <w:p w14:paraId="1AF26CAB" w14:textId="77777777" w:rsidR="0091779A" w:rsidRPr="00AC7072" w:rsidRDefault="0091779A" w:rsidP="001E7F94">
      <w:pPr>
        <w:widowControl w:val="0"/>
        <w:tabs>
          <w:tab w:val="left" w:pos="0"/>
          <w:tab w:val="left" w:pos="220"/>
        </w:tabs>
        <w:autoSpaceDE w:val="0"/>
        <w:autoSpaceDN w:val="0"/>
        <w:adjustRightInd w:val="0"/>
        <w:ind w:left="-11"/>
        <w:rPr>
          <w:rFonts w:cs="Arial"/>
          <w:color w:val="262626"/>
          <w:sz w:val="22"/>
          <w:szCs w:val="22"/>
        </w:rPr>
      </w:pPr>
    </w:p>
    <w:p w14:paraId="613F93B7" w14:textId="6F0800FD" w:rsidR="0091779A" w:rsidRPr="00AC7072" w:rsidRDefault="0091779A" w:rsidP="001E7F94">
      <w:pPr>
        <w:widowControl w:val="0"/>
        <w:tabs>
          <w:tab w:val="left" w:pos="0"/>
          <w:tab w:val="left" w:pos="220"/>
        </w:tabs>
        <w:autoSpaceDE w:val="0"/>
        <w:autoSpaceDN w:val="0"/>
        <w:adjustRightInd w:val="0"/>
        <w:ind w:left="-11"/>
        <w:rPr>
          <w:rFonts w:ascii="Cambria" w:hAnsi="Cambria" w:cs="Verdana"/>
          <w:color w:val="121212"/>
          <w:sz w:val="22"/>
          <w:szCs w:val="22"/>
        </w:rPr>
      </w:pPr>
      <w:r w:rsidRPr="00AC7072">
        <w:rPr>
          <w:rFonts w:cs="Arial"/>
          <w:color w:val="262626"/>
          <w:sz w:val="22"/>
          <w:szCs w:val="22"/>
        </w:rPr>
        <w:t xml:space="preserve">[5] </w:t>
      </w:r>
      <w:r w:rsidRPr="00AC7072">
        <w:rPr>
          <w:rFonts w:cs="Times"/>
          <w:sz w:val="22"/>
          <w:szCs w:val="22"/>
        </w:rPr>
        <w:t xml:space="preserve">‘Coppola makes his film like the Americans made war […]. The war as entrenchment, as technological and psychedelic fantasy, the war as a succession of special effects, the war become film even before being filmed. The war abolishes itself in its technological test, and for Americans it was primarily that: a test site, a gigantic territory in which to test their arms, their methods, their power. Coppola does nothing but that: test cinema’s </w:t>
      </w:r>
      <w:r w:rsidRPr="00AC7072">
        <w:rPr>
          <w:rFonts w:cs="Times"/>
          <w:i/>
          <w:sz w:val="22"/>
          <w:szCs w:val="22"/>
        </w:rPr>
        <w:t>power of intervention</w:t>
      </w:r>
      <w:r w:rsidRPr="00AC7072">
        <w:rPr>
          <w:rFonts w:cs="Times"/>
          <w:sz w:val="22"/>
          <w:szCs w:val="22"/>
        </w:rPr>
        <w:t xml:space="preserve">, test the impact of a cinema that has become an immensurable machinery of special effects. In this sense, his film is really the extension of war through other means, the pinnacle of this failed </w:t>
      </w:r>
      <w:r w:rsidRPr="00AC7072">
        <w:rPr>
          <w:rFonts w:cs="Times"/>
          <w:sz w:val="22"/>
          <w:szCs w:val="22"/>
        </w:rPr>
        <w:lastRenderedPageBreak/>
        <w:t xml:space="preserve">war, and its apotheosis. The war became film, the film becomes the war, the two are joined by their common hemorrhage into technology. […] this film is part of the war – if the Americans (seemingly) lost the other one, they certainly won this one. </w:t>
      </w:r>
      <w:r w:rsidRPr="00AC7072">
        <w:rPr>
          <w:rFonts w:cs="Times"/>
          <w:i/>
          <w:sz w:val="22"/>
          <w:szCs w:val="22"/>
        </w:rPr>
        <w:t>Apocalypse Now</w:t>
      </w:r>
      <w:r w:rsidRPr="00AC7072">
        <w:rPr>
          <w:rFonts w:cs="Times"/>
          <w:sz w:val="22"/>
          <w:szCs w:val="22"/>
        </w:rPr>
        <w:t xml:space="preserve"> is a global victory. Cinematographic power equal and superior to that of the industrial and military complexes, equal or superior to that of Pentagon and of governments.’</w:t>
      </w:r>
    </w:p>
    <w:p w14:paraId="113C1D67" w14:textId="6622B4E8" w:rsidR="001E7F94" w:rsidRPr="00826369" w:rsidRDefault="0091779A" w:rsidP="00EF4513">
      <w:pPr>
        <w:rPr>
          <w:rFonts w:cs="Times"/>
          <w:sz w:val="20"/>
          <w:szCs w:val="20"/>
        </w:rPr>
      </w:pPr>
      <w:r w:rsidRPr="00826369">
        <w:rPr>
          <w:rFonts w:eastAsia="Times New Roman" w:cs="Times New Roman"/>
          <w:sz w:val="20"/>
          <w:szCs w:val="20"/>
        </w:rPr>
        <w:t xml:space="preserve">Jean Baudrillard, </w:t>
      </w:r>
      <w:r w:rsidRPr="00826369">
        <w:rPr>
          <w:rFonts w:eastAsia="Times New Roman" w:cs="Times New Roman"/>
          <w:i/>
          <w:iCs/>
          <w:sz w:val="20"/>
          <w:szCs w:val="20"/>
        </w:rPr>
        <w:t>Simulacra and Simulation</w:t>
      </w:r>
      <w:r w:rsidRPr="00826369">
        <w:rPr>
          <w:rFonts w:eastAsia="Times New Roman" w:cs="Times New Roman"/>
          <w:sz w:val="20"/>
          <w:szCs w:val="20"/>
        </w:rPr>
        <w:t xml:space="preserve"> (Ann Arbor: University of Michigan Press, 1994) pp. </w:t>
      </w:r>
      <w:r w:rsidRPr="00826369">
        <w:rPr>
          <w:rFonts w:cs="Times"/>
          <w:sz w:val="20"/>
          <w:szCs w:val="20"/>
        </w:rPr>
        <w:t>59, 60</w:t>
      </w:r>
    </w:p>
    <w:p w14:paraId="2AA9AFAB" w14:textId="77777777" w:rsidR="00826369" w:rsidRDefault="00826369" w:rsidP="00EF4513">
      <w:pPr>
        <w:rPr>
          <w:rFonts w:cs="Times"/>
        </w:rPr>
      </w:pPr>
    </w:p>
    <w:p w14:paraId="4AC4ECAA" w14:textId="4446BB68" w:rsidR="00826369" w:rsidRPr="00AC7072" w:rsidRDefault="00826369" w:rsidP="00EF4513">
      <w:pPr>
        <w:rPr>
          <w:rFonts w:cs="Helvetica Neue Light"/>
          <w:color w:val="2A2A2A"/>
          <w:sz w:val="22"/>
          <w:szCs w:val="22"/>
        </w:rPr>
      </w:pPr>
      <w:r w:rsidRPr="00AC7072">
        <w:rPr>
          <w:rFonts w:cs="Times"/>
          <w:sz w:val="22"/>
          <w:szCs w:val="22"/>
        </w:rPr>
        <w:t xml:space="preserve">[6] </w:t>
      </w:r>
      <w:r w:rsidRPr="00AC7072">
        <w:rPr>
          <w:rFonts w:cs="Helvetica Neue Light"/>
          <w:color w:val="2A2A2A"/>
          <w:sz w:val="22"/>
          <w:szCs w:val="22"/>
        </w:rPr>
        <w:t>‘if cinema crossed borders easily in its first decades, it followed global pathways opened up by world-wide capitalism, colonialism, and imperialism’</w:t>
      </w:r>
    </w:p>
    <w:p w14:paraId="68905D92" w14:textId="58F92B0B" w:rsidR="00826369" w:rsidRPr="00826369" w:rsidRDefault="00826369" w:rsidP="00EF4513">
      <w:pPr>
        <w:rPr>
          <w:rFonts w:cs="Helvetica Neue Light"/>
          <w:color w:val="2A2A2A"/>
          <w:sz w:val="20"/>
          <w:szCs w:val="20"/>
        </w:rPr>
      </w:pPr>
      <w:r w:rsidRPr="00826369">
        <w:rPr>
          <w:rFonts w:cs="Helvetica Neue Light"/>
          <w:color w:val="2A2A2A"/>
          <w:sz w:val="20"/>
          <w:szCs w:val="20"/>
        </w:rPr>
        <w:t xml:space="preserve">Tom Gunning, “Early Cinema as Global Cinema: The Encyclopedic Ambition,” in </w:t>
      </w:r>
      <w:r w:rsidRPr="00826369">
        <w:rPr>
          <w:rFonts w:cs="Helvetica Neue Light"/>
          <w:i/>
          <w:iCs/>
          <w:color w:val="2A2A2A"/>
          <w:sz w:val="20"/>
          <w:szCs w:val="20"/>
        </w:rPr>
        <w:t>Early Cinema and the “National,”</w:t>
      </w:r>
      <w:r w:rsidRPr="00826369">
        <w:rPr>
          <w:rFonts w:cs="Helvetica Neue Light"/>
          <w:color w:val="2A2A2A"/>
          <w:sz w:val="20"/>
          <w:szCs w:val="20"/>
        </w:rPr>
        <w:t xml:space="preserve"> ed. Richard Abel, Giorgio Bertellini, and Rob King (New Barnet: John Libbey, 2008), 11–16 (p. 11)</w:t>
      </w:r>
    </w:p>
    <w:p w14:paraId="38595253" w14:textId="77777777" w:rsidR="00826369" w:rsidRDefault="00826369" w:rsidP="00EF4513">
      <w:pPr>
        <w:rPr>
          <w:rFonts w:cs="Helvetica Neue Light"/>
          <w:color w:val="2A2A2A"/>
          <w:szCs w:val="20"/>
        </w:rPr>
      </w:pPr>
    </w:p>
    <w:p w14:paraId="55B80D19" w14:textId="4952B75D" w:rsidR="00826369" w:rsidRPr="00AC7072" w:rsidRDefault="00826369" w:rsidP="00EF4513">
      <w:pPr>
        <w:rPr>
          <w:rFonts w:asciiTheme="majorHAnsi" w:hAnsiTheme="majorHAnsi"/>
          <w:b/>
          <w:sz w:val="22"/>
          <w:szCs w:val="22"/>
        </w:rPr>
      </w:pPr>
      <w:r w:rsidRPr="00AC7072">
        <w:rPr>
          <w:rFonts w:cs="Helvetica Neue Light"/>
          <w:color w:val="2A2A2A"/>
          <w:sz w:val="22"/>
          <w:szCs w:val="22"/>
        </w:rPr>
        <w:t xml:space="preserve">[7] </w:t>
      </w:r>
      <w:r w:rsidRPr="00AC7072">
        <w:rPr>
          <w:sz w:val="22"/>
          <w:szCs w:val="22"/>
        </w:rPr>
        <w:t>‘The cinema’s ability to “fly” spectators around the globe gave them a subject position as film’s audio-visual masters. The “spatially-mobilized visuality” of the I/eye of empire spiraled outward around the globe, creating a visceral, kinetic sense of imperial travel and conquest, transforming European spectators into armchair conquistadors, affirming their sense of power while turning the colonies into spectacle for the metropole’s voyeuristic gaze.’</w:t>
      </w:r>
    </w:p>
    <w:p w14:paraId="11C70408" w14:textId="63930E64" w:rsidR="0091779A" w:rsidRPr="00826369" w:rsidRDefault="00826369" w:rsidP="00EF4513">
      <w:pPr>
        <w:rPr>
          <w:rFonts w:asciiTheme="majorHAnsi" w:hAnsiTheme="majorHAnsi"/>
          <w:b/>
          <w:sz w:val="20"/>
          <w:szCs w:val="20"/>
        </w:rPr>
      </w:pPr>
      <w:r w:rsidRPr="00826369">
        <w:rPr>
          <w:rFonts w:ascii="Cambria" w:hAnsi="Cambria" w:cs="Arial"/>
          <w:sz w:val="20"/>
          <w:szCs w:val="20"/>
        </w:rPr>
        <w:t xml:space="preserve">Ella Shohat and Robert Stam, </w:t>
      </w:r>
      <w:r w:rsidRPr="00826369">
        <w:rPr>
          <w:rFonts w:ascii="Cambria" w:hAnsi="Cambria" w:cs="Arial"/>
          <w:i/>
          <w:sz w:val="20"/>
          <w:szCs w:val="20"/>
        </w:rPr>
        <w:t xml:space="preserve">Unthinking Eurocentrism: Multiculturalism and the Media </w:t>
      </w:r>
      <w:r w:rsidRPr="00826369">
        <w:rPr>
          <w:rFonts w:ascii="Cambria" w:hAnsi="Cambria" w:cs="Arial"/>
          <w:sz w:val="20"/>
          <w:szCs w:val="20"/>
        </w:rPr>
        <w:t>(London: Routledge, 1994)</w:t>
      </w:r>
      <w:r w:rsidRPr="00826369">
        <w:rPr>
          <w:sz w:val="20"/>
          <w:szCs w:val="20"/>
        </w:rPr>
        <w:t>, p. 104</w:t>
      </w:r>
    </w:p>
    <w:p w14:paraId="1B9BF1A4" w14:textId="77777777" w:rsidR="00826369" w:rsidRDefault="00826369" w:rsidP="00EF4513">
      <w:pPr>
        <w:rPr>
          <w:rFonts w:asciiTheme="majorHAnsi" w:hAnsiTheme="majorHAnsi"/>
          <w:b/>
          <w:sz w:val="28"/>
          <w:szCs w:val="28"/>
        </w:rPr>
      </w:pPr>
    </w:p>
    <w:p w14:paraId="4A40ACCB" w14:textId="77777777" w:rsidR="00EF4513" w:rsidRPr="00AC7072" w:rsidRDefault="00EF4513" w:rsidP="00EF4513">
      <w:pPr>
        <w:rPr>
          <w:rFonts w:asciiTheme="majorHAnsi" w:hAnsiTheme="majorHAnsi"/>
          <w:b/>
        </w:rPr>
      </w:pPr>
      <w:r w:rsidRPr="00AC7072">
        <w:rPr>
          <w:rFonts w:asciiTheme="majorHAnsi" w:hAnsiTheme="majorHAnsi"/>
          <w:b/>
        </w:rPr>
        <w:t>Bibliography</w:t>
      </w:r>
    </w:p>
    <w:p w14:paraId="2E31C050" w14:textId="77777777" w:rsidR="00EF4513" w:rsidRDefault="00EF4513" w:rsidP="00EF4513"/>
    <w:p w14:paraId="45AB8B5D" w14:textId="77777777" w:rsidR="00EF4513" w:rsidRPr="00AC7072" w:rsidRDefault="00EF4513" w:rsidP="00EF4513">
      <w:pPr>
        <w:ind w:left="709" w:hanging="720"/>
        <w:rPr>
          <w:sz w:val="22"/>
          <w:szCs w:val="22"/>
        </w:rPr>
      </w:pPr>
      <w:r w:rsidRPr="00AC7072">
        <w:rPr>
          <w:sz w:val="22"/>
          <w:szCs w:val="22"/>
        </w:rPr>
        <w:t xml:space="preserve">Artaraz, Kepa. </w:t>
      </w:r>
      <w:r w:rsidRPr="00AC7072">
        <w:rPr>
          <w:i/>
          <w:sz w:val="22"/>
          <w:szCs w:val="22"/>
        </w:rPr>
        <w:t xml:space="preserve">Bolivia: Refounding the Nation </w:t>
      </w:r>
      <w:r w:rsidRPr="00AC7072">
        <w:rPr>
          <w:sz w:val="22"/>
          <w:szCs w:val="22"/>
        </w:rPr>
        <w:t xml:space="preserve">(London: Pluto Press, 2012) </w:t>
      </w:r>
    </w:p>
    <w:p w14:paraId="610E4181" w14:textId="77777777" w:rsidR="00EF4513" w:rsidRPr="00AC7072" w:rsidRDefault="00EF4513" w:rsidP="00EF4513">
      <w:pPr>
        <w:widowControl w:val="0"/>
        <w:tabs>
          <w:tab w:val="left" w:pos="0"/>
          <w:tab w:val="left" w:pos="220"/>
        </w:tabs>
        <w:autoSpaceDE w:val="0"/>
        <w:autoSpaceDN w:val="0"/>
        <w:adjustRightInd w:val="0"/>
        <w:ind w:left="709" w:hanging="720"/>
        <w:rPr>
          <w:rFonts w:ascii="Cambria" w:hAnsi="Cambria" w:cs="Verdana"/>
          <w:color w:val="121212"/>
          <w:sz w:val="22"/>
          <w:szCs w:val="22"/>
        </w:rPr>
      </w:pPr>
      <w:r w:rsidRPr="00AC7072">
        <w:rPr>
          <w:rFonts w:ascii="Cambria" w:hAnsi="Cambria" w:cs="Verdana"/>
          <w:color w:val="121212"/>
          <w:sz w:val="22"/>
          <w:szCs w:val="22"/>
        </w:rPr>
        <w:t>Arteaga, Claudia. ‘Repensando la resistencia popular en la Bolivia contemporánea (</w:t>
      </w:r>
      <w:r w:rsidRPr="00AC7072">
        <w:rPr>
          <w:rFonts w:ascii="Cambria" w:hAnsi="Cambria" w:cs="Verdana"/>
          <w:i/>
          <w:iCs/>
          <w:color w:val="121212"/>
          <w:sz w:val="22"/>
          <w:szCs w:val="22"/>
        </w:rPr>
        <w:t>También la lluvia</w:t>
      </w:r>
      <w:r w:rsidRPr="00AC7072">
        <w:rPr>
          <w:rFonts w:ascii="Cambria" w:hAnsi="Cambria" w:cs="Verdana"/>
          <w:color w:val="121212"/>
          <w:sz w:val="22"/>
          <w:szCs w:val="22"/>
        </w:rPr>
        <w:t xml:space="preserve">, de Icíar Bollaín)’, </w:t>
      </w:r>
      <w:r w:rsidRPr="00AC7072">
        <w:rPr>
          <w:rFonts w:ascii="Cambria" w:hAnsi="Cambria" w:cs="Verdana"/>
          <w:i/>
          <w:iCs/>
          <w:color w:val="121212"/>
          <w:sz w:val="22"/>
          <w:szCs w:val="22"/>
        </w:rPr>
        <w:t>Crítica Latinoamericana</w:t>
      </w:r>
      <w:r w:rsidRPr="00AC7072">
        <w:rPr>
          <w:rFonts w:ascii="Cambria" w:hAnsi="Cambria" w:cs="Verdana"/>
          <w:color w:val="121212"/>
          <w:sz w:val="22"/>
          <w:szCs w:val="22"/>
        </w:rPr>
        <w:t xml:space="preserve"> (2013), at </w:t>
      </w:r>
      <w:hyperlink r:id="rId7" w:history="1">
        <w:r w:rsidRPr="00AC7072">
          <w:rPr>
            <w:rStyle w:val="Hyperlink"/>
            <w:rFonts w:ascii="Cambria" w:hAnsi="Cambria" w:cs="Verdana"/>
            <w:sz w:val="22"/>
            <w:szCs w:val="22"/>
          </w:rPr>
          <w:t>http://criticalatinoamericana.com/repensando-la-resistencia-popular-en-la-bolivia-contemporanea-resena-de-la-pelicula-tambien-la-lluvia/</w:t>
        </w:r>
      </w:hyperlink>
    </w:p>
    <w:p w14:paraId="7AF3E014" w14:textId="77777777" w:rsidR="00EF4513" w:rsidRPr="00AC7072" w:rsidRDefault="00EF4513" w:rsidP="00EF4513">
      <w:pPr>
        <w:ind w:left="709" w:hanging="720"/>
        <w:rPr>
          <w:sz w:val="22"/>
          <w:szCs w:val="22"/>
        </w:rPr>
      </w:pPr>
      <w:r w:rsidRPr="00AC7072">
        <w:rPr>
          <w:sz w:val="22"/>
          <w:szCs w:val="22"/>
        </w:rPr>
        <w:t>Barsanti, Chris. ‘</w:t>
      </w:r>
      <w:r w:rsidRPr="00AC7072">
        <w:rPr>
          <w:rFonts w:cs="Georgia"/>
          <w:sz w:val="22"/>
          <w:szCs w:val="22"/>
        </w:rPr>
        <w:t>“Even the Rain” by Icíar Bollaín’ [review] (4 March 2011), at https://latinamericanfilm.wordpress.com/2011/03/04/film-of-the-week-even-the-rain-by-iciar-bollain-review-trailer/</w:t>
      </w:r>
    </w:p>
    <w:p w14:paraId="78E866E2" w14:textId="77777777" w:rsidR="00EF4513" w:rsidRPr="00AC7072" w:rsidRDefault="00EF4513" w:rsidP="00EF4513">
      <w:pPr>
        <w:ind w:left="709" w:hanging="720"/>
        <w:rPr>
          <w:sz w:val="22"/>
          <w:szCs w:val="22"/>
        </w:rPr>
      </w:pPr>
      <w:r w:rsidRPr="00AC7072">
        <w:rPr>
          <w:rFonts w:eastAsia="Times New Roman" w:cs="Times New Roman"/>
          <w:sz w:val="22"/>
          <w:szCs w:val="22"/>
        </w:rPr>
        <w:t xml:space="preserve">Baudrillard, Jean. </w:t>
      </w:r>
      <w:r w:rsidRPr="00AC7072">
        <w:rPr>
          <w:rFonts w:eastAsia="Times New Roman" w:cs="Times New Roman"/>
          <w:i/>
          <w:iCs/>
          <w:sz w:val="22"/>
          <w:szCs w:val="22"/>
        </w:rPr>
        <w:t>Simulacra and Simulation</w:t>
      </w:r>
      <w:r w:rsidRPr="00AC7072">
        <w:rPr>
          <w:rFonts w:eastAsia="Times New Roman" w:cs="Times New Roman"/>
          <w:sz w:val="22"/>
          <w:szCs w:val="22"/>
        </w:rPr>
        <w:t>, trans. Sheila Faria Glaser (Ann Arbor: University of Michigan Press, 1994)</w:t>
      </w:r>
    </w:p>
    <w:p w14:paraId="06BFE39E" w14:textId="77777777" w:rsidR="00EF4513" w:rsidRPr="00AC7072" w:rsidRDefault="00EF4513" w:rsidP="00EF4513">
      <w:pPr>
        <w:widowControl w:val="0"/>
        <w:tabs>
          <w:tab w:val="left" w:pos="0"/>
          <w:tab w:val="left" w:pos="220"/>
        </w:tabs>
        <w:autoSpaceDE w:val="0"/>
        <w:autoSpaceDN w:val="0"/>
        <w:adjustRightInd w:val="0"/>
        <w:ind w:left="709" w:hanging="720"/>
        <w:rPr>
          <w:rFonts w:ascii="Cambria" w:hAnsi="Cambria" w:cs="Verdana"/>
          <w:color w:val="121212"/>
          <w:sz w:val="22"/>
          <w:szCs w:val="22"/>
        </w:rPr>
      </w:pPr>
      <w:r w:rsidRPr="00AC7072">
        <w:rPr>
          <w:rFonts w:ascii="Cambria" w:hAnsi="Cambria" w:cs="Verdana"/>
          <w:color w:val="121212"/>
          <w:sz w:val="22"/>
          <w:szCs w:val="22"/>
        </w:rPr>
        <w:t xml:space="preserve">Cilento, Fabrizio. ‘Even the Rain: A Confluence of Cinematic and Historical Temporalities’, in </w:t>
      </w:r>
      <w:r w:rsidRPr="00AC7072">
        <w:rPr>
          <w:rFonts w:ascii="Cambria" w:hAnsi="Cambria" w:cs="Verdana"/>
          <w:i/>
          <w:iCs/>
          <w:color w:val="121212"/>
          <w:sz w:val="22"/>
          <w:szCs w:val="22"/>
        </w:rPr>
        <w:t>Arizona Journal of Hispanic Cultural Studies</w:t>
      </w:r>
      <w:r w:rsidRPr="00AC7072">
        <w:rPr>
          <w:rFonts w:ascii="Cambria" w:hAnsi="Cambria" w:cs="Verdana"/>
          <w:color w:val="121212"/>
          <w:sz w:val="22"/>
          <w:szCs w:val="22"/>
        </w:rPr>
        <w:t>, vol. 16 (2012), 245-58, at</w:t>
      </w:r>
      <w:r w:rsidRPr="00AC7072">
        <w:rPr>
          <w:rFonts w:ascii="Cambria" w:hAnsi="Cambria" w:cs="Verdana"/>
          <w:color w:val="121212"/>
          <w:sz w:val="22"/>
          <w:szCs w:val="22"/>
        </w:rPr>
        <w:tab/>
      </w:r>
      <w:hyperlink r:id="rId8" w:history="1">
        <w:r w:rsidRPr="00AC7072">
          <w:rPr>
            <w:rStyle w:val="Hyperlink"/>
            <w:rFonts w:ascii="Cambria" w:hAnsi="Cambria" w:cs="Verdana"/>
            <w:sz w:val="22"/>
            <w:szCs w:val="22"/>
          </w:rPr>
          <w:t>http://fabriziocilento.com/wordpress/wp-content/uploads/2013/04/Even-the-Rain.pdf</w:t>
        </w:r>
      </w:hyperlink>
    </w:p>
    <w:p w14:paraId="0A8BCD17" w14:textId="77777777" w:rsidR="00EF4513" w:rsidRPr="00AC7072" w:rsidRDefault="00EF4513" w:rsidP="00EF4513">
      <w:pPr>
        <w:ind w:left="709" w:hanging="720"/>
        <w:rPr>
          <w:sz w:val="22"/>
          <w:szCs w:val="22"/>
        </w:rPr>
      </w:pPr>
      <w:r w:rsidRPr="00AC7072">
        <w:rPr>
          <w:sz w:val="22"/>
          <w:szCs w:val="22"/>
        </w:rPr>
        <w:t xml:space="preserve">Dennison, Stephanie, ed. </w:t>
      </w:r>
      <w:r w:rsidRPr="00AC7072">
        <w:rPr>
          <w:i/>
          <w:sz w:val="22"/>
          <w:szCs w:val="22"/>
        </w:rPr>
        <w:t>Contemporary Hispanic Cinema: Interrogating the Transnational in Spanish and Latin American Film</w:t>
      </w:r>
      <w:r w:rsidRPr="00AC7072">
        <w:rPr>
          <w:sz w:val="22"/>
          <w:szCs w:val="22"/>
        </w:rPr>
        <w:t xml:space="preserve"> (Woodbridge: Tamesis, 2013)</w:t>
      </w:r>
    </w:p>
    <w:p w14:paraId="304790AC" w14:textId="77777777" w:rsidR="00EF4513" w:rsidRPr="00AC7072" w:rsidRDefault="00EF4513" w:rsidP="00EF4513">
      <w:pPr>
        <w:ind w:left="709" w:hanging="720"/>
        <w:rPr>
          <w:sz w:val="22"/>
          <w:szCs w:val="22"/>
        </w:rPr>
      </w:pPr>
      <w:r w:rsidRPr="00AC7072">
        <w:rPr>
          <w:sz w:val="22"/>
          <w:szCs w:val="22"/>
        </w:rPr>
        <w:t xml:space="preserve">Crabtree, John. </w:t>
      </w:r>
      <w:r w:rsidRPr="00AC7072">
        <w:rPr>
          <w:i/>
          <w:sz w:val="22"/>
          <w:szCs w:val="22"/>
        </w:rPr>
        <w:t>Patterns of Protest: Politics and Social Movements in Bolivia</w:t>
      </w:r>
      <w:r w:rsidRPr="00AC7072">
        <w:rPr>
          <w:sz w:val="22"/>
          <w:szCs w:val="22"/>
        </w:rPr>
        <w:t xml:space="preserve"> (London: Latin American Bureau, 2005)</w:t>
      </w:r>
    </w:p>
    <w:p w14:paraId="4485DB7E" w14:textId="77777777" w:rsidR="00EF4513" w:rsidRPr="00AC7072" w:rsidRDefault="00EF4513" w:rsidP="00EF4513">
      <w:pPr>
        <w:ind w:left="709" w:hanging="720"/>
        <w:rPr>
          <w:sz w:val="22"/>
          <w:szCs w:val="22"/>
        </w:rPr>
      </w:pPr>
      <w:r w:rsidRPr="00AC7072">
        <w:rPr>
          <w:sz w:val="22"/>
          <w:szCs w:val="22"/>
        </w:rPr>
        <w:t xml:space="preserve">Dangl, Benjamin. </w:t>
      </w:r>
      <w:r w:rsidRPr="00AC7072">
        <w:rPr>
          <w:i/>
          <w:sz w:val="22"/>
          <w:szCs w:val="22"/>
        </w:rPr>
        <w:t>The Price of Fire: Resource Wars and Social Movements in Bolivia</w:t>
      </w:r>
      <w:r w:rsidRPr="00AC7072">
        <w:rPr>
          <w:sz w:val="22"/>
          <w:szCs w:val="22"/>
        </w:rPr>
        <w:t xml:space="preserve"> (Edinburgh: AK Press, 2007)</w:t>
      </w:r>
    </w:p>
    <w:p w14:paraId="5E4255C6" w14:textId="77777777" w:rsidR="00EF4513" w:rsidRPr="00AC7072" w:rsidRDefault="00EF4513" w:rsidP="00EF4513">
      <w:pPr>
        <w:ind w:left="709" w:hanging="720"/>
        <w:rPr>
          <w:rFonts w:cs="Helvetica Neue Light"/>
          <w:color w:val="2A2A2A"/>
          <w:sz w:val="22"/>
          <w:szCs w:val="22"/>
        </w:rPr>
      </w:pPr>
      <w:r w:rsidRPr="00AC7072">
        <w:rPr>
          <w:rFonts w:cs="Helvetica Neue Light"/>
          <w:color w:val="2A2A2A"/>
          <w:sz w:val="22"/>
          <w:szCs w:val="22"/>
        </w:rPr>
        <w:t xml:space="preserve">Gunning, Tom. ‘Early Cinema as Global Cinema: The Encyclopedic Ambition,’ in Richard Abel, Giorgio Bertellini, and Rob King, eds, </w:t>
      </w:r>
      <w:r w:rsidRPr="00AC7072">
        <w:rPr>
          <w:rFonts w:cs="Helvetica Neue Light"/>
          <w:i/>
          <w:iCs/>
          <w:color w:val="2A2A2A"/>
          <w:sz w:val="22"/>
          <w:szCs w:val="22"/>
        </w:rPr>
        <w:t>Early Cinema and the “National,”</w:t>
      </w:r>
      <w:r w:rsidRPr="00AC7072">
        <w:rPr>
          <w:rFonts w:cs="Helvetica Neue Light"/>
          <w:color w:val="2A2A2A"/>
          <w:sz w:val="22"/>
          <w:szCs w:val="22"/>
        </w:rPr>
        <w:t xml:space="preserve"> (New Barnet: John Libbey, 2008)</w:t>
      </w:r>
    </w:p>
    <w:p w14:paraId="31E18770" w14:textId="77777777" w:rsidR="00EF4513" w:rsidRPr="00AC7072" w:rsidRDefault="00EF4513" w:rsidP="00EF4513">
      <w:pPr>
        <w:ind w:left="709" w:hanging="720"/>
        <w:rPr>
          <w:sz w:val="22"/>
          <w:szCs w:val="22"/>
        </w:rPr>
      </w:pPr>
      <w:r w:rsidRPr="00AC7072">
        <w:rPr>
          <w:sz w:val="22"/>
          <w:szCs w:val="22"/>
        </w:rPr>
        <w:t xml:space="preserve">Higson, Andrew. ‘The Limiting Imagination of National Cinema,’ in </w:t>
      </w:r>
      <w:r w:rsidRPr="00AC7072">
        <w:rPr>
          <w:i/>
          <w:sz w:val="22"/>
          <w:szCs w:val="22"/>
        </w:rPr>
        <w:t>Cinema and Nation</w:t>
      </w:r>
      <w:r w:rsidRPr="00AC7072">
        <w:rPr>
          <w:sz w:val="22"/>
          <w:szCs w:val="22"/>
        </w:rPr>
        <w:t>, ed. Mette Hjort and Scott Mackenzie (London: Routledge, 2000), pp. 63-74</w:t>
      </w:r>
    </w:p>
    <w:p w14:paraId="3415ACDA" w14:textId="77777777" w:rsidR="00EF4513" w:rsidRPr="00AC7072" w:rsidRDefault="00EF4513" w:rsidP="00EF4513">
      <w:pPr>
        <w:ind w:left="709" w:hanging="720"/>
        <w:rPr>
          <w:rFonts w:cs="Arial"/>
          <w:bCs/>
          <w:color w:val="262626"/>
          <w:sz w:val="22"/>
          <w:szCs w:val="22"/>
        </w:rPr>
      </w:pPr>
      <w:r w:rsidRPr="00AC7072">
        <w:rPr>
          <w:sz w:val="22"/>
          <w:szCs w:val="22"/>
        </w:rPr>
        <w:t xml:space="preserve">Jones, Gareth A. ‘Latin American Geographies’ in Philip Swanson, ed., </w:t>
      </w:r>
      <w:r w:rsidRPr="00AC7072">
        <w:rPr>
          <w:rFonts w:cs="Arial"/>
          <w:bCs/>
          <w:i/>
          <w:color w:val="262626"/>
          <w:sz w:val="22"/>
          <w:szCs w:val="22"/>
        </w:rPr>
        <w:t>The Companion to Latin American Studies</w:t>
      </w:r>
      <w:r w:rsidRPr="00AC7072">
        <w:rPr>
          <w:rFonts w:cs="Arial"/>
          <w:bCs/>
          <w:color w:val="262626"/>
          <w:sz w:val="22"/>
          <w:szCs w:val="22"/>
        </w:rPr>
        <w:t xml:space="preserve"> (London: Arnold, 2013), pp. 5-25</w:t>
      </w:r>
    </w:p>
    <w:p w14:paraId="3E9506E1" w14:textId="77777777" w:rsidR="00EF4513" w:rsidRPr="00AC7072" w:rsidRDefault="00EF4513" w:rsidP="00EF4513">
      <w:pPr>
        <w:ind w:left="709" w:hanging="720"/>
        <w:rPr>
          <w:sz w:val="22"/>
          <w:szCs w:val="22"/>
        </w:rPr>
      </w:pPr>
      <w:r w:rsidRPr="00AC7072">
        <w:rPr>
          <w:sz w:val="22"/>
          <w:szCs w:val="22"/>
        </w:rPr>
        <w:t xml:space="preserve">Kohl, Benjamin H. and Linda C. Farthing. </w:t>
      </w:r>
      <w:r w:rsidRPr="00AC7072">
        <w:rPr>
          <w:i/>
          <w:sz w:val="22"/>
          <w:szCs w:val="22"/>
        </w:rPr>
        <w:t>Impasse in Bolivia: Neoliberal Hegemony and Popular Resistance</w:t>
      </w:r>
      <w:r w:rsidRPr="00AC7072">
        <w:rPr>
          <w:sz w:val="22"/>
          <w:szCs w:val="22"/>
        </w:rPr>
        <w:t xml:space="preserve"> (London and New York: Zed Books, 2006)</w:t>
      </w:r>
    </w:p>
    <w:p w14:paraId="7635BDDA" w14:textId="77777777" w:rsidR="00EF4513" w:rsidRPr="00AC7072" w:rsidRDefault="00EF4513" w:rsidP="00EF4513">
      <w:pPr>
        <w:widowControl w:val="0"/>
        <w:tabs>
          <w:tab w:val="left" w:pos="0"/>
          <w:tab w:val="left" w:pos="220"/>
        </w:tabs>
        <w:autoSpaceDE w:val="0"/>
        <w:autoSpaceDN w:val="0"/>
        <w:adjustRightInd w:val="0"/>
        <w:ind w:left="709" w:hanging="720"/>
        <w:rPr>
          <w:rFonts w:ascii="Cambria" w:hAnsi="Cambria" w:cs="Verdana"/>
          <w:color w:val="121212"/>
          <w:sz w:val="22"/>
          <w:szCs w:val="22"/>
        </w:rPr>
      </w:pPr>
      <w:r w:rsidRPr="00AC7072">
        <w:rPr>
          <w:rFonts w:ascii="Cambria" w:hAnsi="Cambria" w:cs="Verdana"/>
          <w:color w:val="121212"/>
          <w:sz w:val="22"/>
          <w:szCs w:val="22"/>
        </w:rPr>
        <w:t xml:space="preserve">Marí, Jorge. </w:t>
      </w:r>
      <w:r w:rsidRPr="00AC7072">
        <w:rPr>
          <w:rFonts w:ascii="Cambria" w:hAnsi="Cambria" w:cs="Verdana"/>
          <w:i/>
          <w:iCs/>
          <w:color w:val="121212"/>
          <w:sz w:val="22"/>
          <w:szCs w:val="22"/>
        </w:rPr>
        <w:t>También la lluvia</w:t>
      </w:r>
      <w:r w:rsidRPr="00AC7072">
        <w:rPr>
          <w:rFonts w:ascii="Cambria" w:hAnsi="Cambria" w:cs="Verdana"/>
          <w:color w:val="121212"/>
          <w:sz w:val="22"/>
          <w:szCs w:val="22"/>
        </w:rPr>
        <w:t xml:space="preserve"> (review), in </w:t>
      </w:r>
      <w:r w:rsidRPr="00AC7072">
        <w:rPr>
          <w:rFonts w:ascii="Cambria" w:hAnsi="Cambria" w:cs="Verdana"/>
          <w:i/>
          <w:iCs/>
          <w:color w:val="121212"/>
          <w:sz w:val="22"/>
          <w:szCs w:val="22"/>
        </w:rPr>
        <w:t>Hispania</w:t>
      </w:r>
      <w:r w:rsidRPr="00AC7072">
        <w:rPr>
          <w:rFonts w:ascii="Cambria" w:hAnsi="Cambria" w:cs="Verdana"/>
          <w:color w:val="121212"/>
          <w:sz w:val="22"/>
          <w:szCs w:val="22"/>
        </w:rPr>
        <w:t xml:space="preserve">, vol. 95, no. 2 (June 2012), pp. 369-71, at </w:t>
      </w:r>
      <w:hyperlink r:id="rId9" w:history="1">
        <w:r w:rsidRPr="00AC7072">
          <w:rPr>
            <w:rStyle w:val="Hyperlink"/>
            <w:rFonts w:ascii="Cambria" w:hAnsi="Cambria" w:cs="Verdana"/>
            <w:sz w:val="22"/>
            <w:szCs w:val="22"/>
          </w:rPr>
          <w:t>http://www.jstor.org/stable/23266233</w:t>
        </w:r>
      </w:hyperlink>
    </w:p>
    <w:p w14:paraId="06C1456A" w14:textId="77777777" w:rsidR="00EF4513" w:rsidRPr="00AC7072" w:rsidRDefault="00EF4513" w:rsidP="00EF4513">
      <w:pPr>
        <w:tabs>
          <w:tab w:val="left" w:pos="0"/>
        </w:tabs>
        <w:ind w:left="709" w:hanging="720"/>
        <w:rPr>
          <w:rFonts w:ascii="Cambria" w:hAnsi="Cambria" w:cs="Verdana"/>
          <w:color w:val="121212"/>
          <w:sz w:val="22"/>
          <w:szCs w:val="22"/>
        </w:rPr>
      </w:pPr>
      <w:r w:rsidRPr="00AC7072">
        <w:rPr>
          <w:rFonts w:ascii="Cambria" w:hAnsi="Cambria" w:cs="Verdana"/>
          <w:color w:val="121212"/>
          <w:sz w:val="22"/>
          <w:szCs w:val="22"/>
        </w:rPr>
        <w:t xml:space="preserve">Paszkiewicz, Katarzyna. ‘Del cine épico al cine social: el universo metafílmico en </w:t>
      </w:r>
      <w:r w:rsidRPr="00AC7072">
        <w:rPr>
          <w:rFonts w:ascii="Cambria" w:hAnsi="Cambria" w:cs="Verdana"/>
          <w:i/>
          <w:iCs/>
          <w:color w:val="121212"/>
          <w:sz w:val="22"/>
          <w:szCs w:val="22"/>
        </w:rPr>
        <w:t xml:space="preserve">También la lluvia </w:t>
      </w:r>
      <w:r w:rsidRPr="00AC7072">
        <w:rPr>
          <w:rFonts w:ascii="Cambria" w:hAnsi="Cambria" w:cs="Verdana"/>
          <w:color w:val="121212"/>
          <w:sz w:val="22"/>
          <w:szCs w:val="22"/>
        </w:rPr>
        <w:t xml:space="preserve">(2010) de Icíar Bollaín’, in </w:t>
      </w:r>
      <w:r w:rsidRPr="00AC7072">
        <w:rPr>
          <w:rFonts w:ascii="Cambria" w:hAnsi="Cambria" w:cs="Verdana"/>
          <w:i/>
          <w:iCs/>
          <w:color w:val="121212"/>
          <w:sz w:val="22"/>
          <w:szCs w:val="22"/>
        </w:rPr>
        <w:t>Lectora</w:t>
      </w:r>
      <w:r w:rsidRPr="00AC7072">
        <w:rPr>
          <w:rFonts w:ascii="Cambria" w:hAnsi="Cambria" w:cs="Verdana"/>
          <w:color w:val="121212"/>
          <w:sz w:val="22"/>
          <w:szCs w:val="22"/>
        </w:rPr>
        <w:t xml:space="preserve">, vol. 18 (2012), 227-40, at </w:t>
      </w:r>
    </w:p>
    <w:p w14:paraId="3F90B8AB" w14:textId="77777777" w:rsidR="00EF4513" w:rsidRPr="00AC7072" w:rsidRDefault="00EF4513" w:rsidP="00EF4513">
      <w:pPr>
        <w:tabs>
          <w:tab w:val="left" w:pos="0"/>
        </w:tabs>
        <w:rPr>
          <w:rFonts w:ascii="Cambria" w:hAnsi="Cambria"/>
          <w:sz w:val="22"/>
          <w:szCs w:val="22"/>
        </w:rPr>
      </w:pPr>
      <w:r w:rsidRPr="00AC7072">
        <w:rPr>
          <w:rFonts w:ascii="Cambria" w:hAnsi="Cambria" w:cs="Verdana"/>
          <w:color w:val="0B5BC4"/>
          <w:sz w:val="22"/>
          <w:szCs w:val="22"/>
        </w:rPr>
        <w:tab/>
      </w:r>
      <w:hyperlink r:id="rId10" w:history="1">
        <w:r w:rsidRPr="00AC7072">
          <w:rPr>
            <w:rStyle w:val="Hyperlink"/>
            <w:rFonts w:ascii="Cambria" w:hAnsi="Cambria" w:cs="Verdana"/>
            <w:sz w:val="22"/>
            <w:szCs w:val="22"/>
          </w:rPr>
          <w:t>http://revistes.ub.edu/index.php/lectora/article/view/7264/9168</w:t>
        </w:r>
      </w:hyperlink>
    </w:p>
    <w:p w14:paraId="2E0944B3" w14:textId="77777777" w:rsidR="00EF4513" w:rsidRPr="00AC7072" w:rsidRDefault="00EF4513" w:rsidP="00EF4513">
      <w:pPr>
        <w:ind w:left="709" w:hanging="720"/>
        <w:rPr>
          <w:sz w:val="22"/>
          <w:szCs w:val="22"/>
        </w:rPr>
      </w:pPr>
      <w:r w:rsidRPr="00AC7072">
        <w:rPr>
          <w:sz w:val="22"/>
          <w:szCs w:val="22"/>
        </w:rPr>
        <w:t xml:space="preserve">Santaolalla, Isabel. </w:t>
      </w:r>
      <w:r w:rsidRPr="00AC7072">
        <w:rPr>
          <w:i/>
          <w:sz w:val="22"/>
          <w:szCs w:val="22"/>
        </w:rPr>
        <w:t>The Cinema of Icíar Bollaín</w:t>
      </w:r>
      <w:r w:rsidRPr="00AC7072">
        <w:rPr>
          <w:sz w:val="22"/>
          <w:szCs w:val="22"/>
        </w:rPr>
        <w:t xml:space="preserve"> (Manchester: Manchester University Press, 2012)</w:t>
      </w:r>
    </w:p>
    <w:p w14:paraId="349D52EE" w14:textId="77777777" w:rsidR="00EF4513" w:rsidRPr="00AC7072" w:rsidRDefault="00EF4513" w:rsidP="00EF4513">
      <w:pPr>
        <w:ind w:left="709" w:hanging="720"/>
        <w:rPr>
          <w:sz w:val="22"/>
          <w:szCs w:val="22"/>
        </w:rPr>
      </w:pPr>
      <w:r w:rsidRPr="00AC7072">
        <w:rPr>
          <w:rFonts w:ascii="Cambria" w:hAnsi="Cambria" w:cs="Arial"/>
          <w:sz w:val="22"/>
          <w:szCs w:val="22"/>
        </w:rPr>
        <w:t xml:space="preserve">Shohat, Ella and Robert Stam, </w:t>
      </w:r>
      <w:r w:rsidRPr="00AC7072">
        <w:rPr>
          <w:rFonts w:ascii="Cambria" w:hAnsi="Cambria" w:cs="Arial"/>
          <w:i/>
          <w:sz w:val="22"/>
          <w:szCs w:val="22"/>
        </w:rPr>
        <w:t xml:space="preserve">Unthinking Eurocentrism: Multiculturalism and the Media </w:t>
      </w:r>
      <w:r w:rsidRPr="00AC7072">
        <w:rPr>
          <w:rFonts w:ascii="Cambria" w:hAnsi="Cambria" w:cs="Arial"/>
          <w:sz w:val="22"/>
          <w:szCs w:val="22"/>
        </w:rPr>
        <w:t>(London: Routledge, 1994)</w:t>
      </w:r>
    </w:p>
    <w:p w14:paraId="12834E61" w14:textId="77777777" w:rsidR="00EF4513" w:rsidRPr="00AC7072" w:rsidRDefault="00EF4513" w:rsidP="00EF4513">
      <w:pPr>
        <w:widowControl w:val="0"/>
        <w:tabs>
          <w:tab w:val="left" w:pos="0"/>
          <w:tab w:val="left" w:pos="220"/>
        </w:tabs>
        <w:autoSpaceDE w:val="0"/>
        <w:autoSpaceDN w:val="0"/>
        <w:adjustRightInd w:val="0"/>
        <w:ind w:left="221" w:hanging="221"/>
        <w:rPr>
          <w:rFonts w:ascii="Cambria" w:hAnsi="Cambria" w:cs="Verdana"/>
          <w:color w:val="121212"/>
          <w:sz w:val="22"/>
          <w:szCs w:val="22"/>
        </w:rPr>
      </w:pPr>
    </w:p>
    <w:p w14:paraId="52629184" w14:textId="77777777" w:rsidR="00EF4513" w:rsidRPr="00AC7072" w:rsidRDefault="00EF4513" w:rsidP="00EF4513">
      <w:pPr>
        <w:widowControl w:val="0"/>
        <w:tabs>
          <w:tab w:val="left" w:pos="0"/>
          <w:tab w:val="left" w:pos="220"/>
        </w:tabs>
        <w:autoSpaceDE w:val="0"/>
        <w:autoSpaceDN w:val="0"/>
        <w:adjustRightInd w:val="0"/>
        <w:ind w:left="221" w:hanging="221"/>
        <w:rPr>
          <w:rFonts w:ascii="Cambria" w:hAnsi="Cambria" w:cs="Verdana"/>
          <w:color w:val="121212"/>
          <w:sz w:val="22"/>
          <w:szCs w:val="22"/>
        </w:rPr>
      </w:pPr>
    </w:p>
    <w:p w14:paraId="70AD3B4E" w14:textId="77777777" w:rsidR="004D7047" w:rsidRDefault="004D7047"/>
    <w:sectPr w:rsidR="004D7047" w:rsidSect="00AC7072">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CFD"/>
    <w:multiLevelType w:val="hybridMultilevel"/>
    <w:tmpl w:val="B3FE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13"/>
    <w:rsid w:val="0002779F"/>
    <w:rsid w:val="00067AD2"/>
    <w:rsid w:val="000F3DF9"/>
    <w:rsid w:val="001C61DA"/>
    <w:rsid w:val="001E7F94"/>
    <w:rsid w:val="00216BD8"/>
    <w:rsid w:val="002F13B8"/>
    <w:rsid w:val="003474F9"/>
    <w:rsid w:val="00367C7F"/>
    <w:rsid w:val="003B0CC6"/>
    <w:rsid w:val="00425CEF"/>
    <w:rsid w:val="004D7047"/>
    <w:rsid w:val="00535749"/>
    <w:rsid w:val="00565034"/>
    <w:rsid w:val="007215D1"/>
    <w:rsid w:val="00807D92"/>
    <w:rsid w:val="00826369"/>
    <w:rsid w:val="008505A9"/>
    <w:rsid w:val="0091779A"/>
    <w:rsid w:val="009B7F9A"/>
    <w:rsid w:val="00A24A11"/>
    <w:rsid w:val="00A41CA5"/>
    <w:rsid w:val="00AC250A"/>
    <w:rsid w:val="00AC7072"/>
    <w:rsid w:val="00B67A4E"/>
    <w:rsid w:val="00C33EE3"/>
    <w:rsid w:val="00C470AF"/>
    <w:rsid w:val="00D76B30"/>
    <w:rsid w:val="00D95230"/>
    <w:rsid w:val="00EF4513"/>
    <w:rsid w:val="00FA6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8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13"/>
    <w:pPr>
      <w:spacing w:after="0"/>
    </w:pPr>
  </w:style>
  <w:style w:type="paragraph" w:styleId="Heading2">
    <w:name w:val="heading 2"/>
    <w:basedOn w:val="Normal"/>
    <w:next w:val="Normal"/>
    <w:link w:val="Heading2Char"/>
    <w:qFormat/>
    <w:rsid w:val="00EF4513"/>
    <w:pPr>
      <w:keepNext/>
      <w:outlineLvl w:val="1"/>
    </w:pPr>
    <w:rPr>
      <w:rFonts w:ascii="Times New Roman" w:eastAsia="Times New Roman" w:hAnsi="Times New Roman" w:cs="Times New Roman"/>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EF"/>
    <w:rPr>
      <w:szCs w:val="18"/>
    </w:rPr>
  </w:style>
  <w:style w:type="character" w:customStyle="1" w:styleId="BalloonTextChar">
    <w:name w:val="Balloon Text Char"/>
    <w:basedOn w:val="DefaultParagraphFont"/>
    <w:link w:val="BalloonText"/>
    <w:uiPriority w:val="99"/>
    <w:semiHidden/>
    <w:rsid w:val="00425CEF"/>
    <w:rPr>
      <w:rFonts w:asciiTheme="minorHAnsi" w:hAnsiTheme="minorHAnsi"/>
      <w:sz w:val="24"/>
      <w:szCs w:val="18"/>
    </w:rPr>
  </w:style>
  <w:style w:type="paragraph" w:styleId="FootnoteText">
    <w:name w:val="footnote text"/>
    <w:basedOn w:val="Normal"/>
    <w:link w:val="FootnoteTextChar"/>
    <w:unhideWhenUsed/>
    <w:rsid w:val="00C470AF"/>
    <w:rPr>
      <w:sz w:val="20"/>
    </w:rPr>
  </w:style>
  <w:style w:type="character" w:customStyle="1" w:styleId="FootnoteTextChar">
    <w:name w:val="Footnote Text Char"/>
    <w:basedOn w:val="DefaultParagraphFont"/>
    <w:link w:val="FootnoteText"/>
    <w:rsid w:val="00C470AF"/>
    <w:rPr>
      <w:sz w:val="20"/>
    </w:rPr>
  </w:style>
  <w:style w:type="character" w:styleId="Hyperlink">
    <w:name w:val="Hyperlink"/>
    <w:basedOn w:val="DefaultParagraphFont"/>
    <w:rsid w:val="00EF4513"/>
    <w:rPr>
      <w:color w:val="0000FF"/>
      <w:u w:val="single"/>
    </w:rPr>
  </w:style>
  <w:style w:type="character" w:customStyle="1" w:styleId="Heading2Char">
    <w:name w:val="Heading 2 Char"/>
    <w:basedOn w:val="DefaultParagraphFont"/>
    <w:link w:val="Heading2"/>
    <w:rsid w:val="00EF4513"/>
    <w:rPr>
      <w:rFonts w:ascii="Times New Roman" w:eastAsia="Times New Roman" w:hAnsi="Times New Roman" w:cs="Times New Roman"/>
      <w:sz w:val="28"/>
      <w:lang w:val="en-GB" w:eastAsia="en-US"/>
    </w:rPr>
  </w:style>
  <w:style w:type="paragraph" w:styleId="ListParagraph">
    <w:name w:val="List Paragraph"/>
    <w:basedOn w:val="Normal"/>
    <w:uiPriority w:val="34"/>
    <w:qFormat/>
    <w:rsid w:val="00EF45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13"/>
    <w:pPr>
      <w:spacing w:after="0"/>
    </w:pPr>
  </w:style>
  <w:style w:type="paragraph" w:styleId="Heading2">
    <w:name w:val="heading 2"/>
    <w:basedOn w:val="Normal"/>
    <w:next w:val="Normal"/>
    <w:link w:val="Heading2Char"/>
    <w:qFormat/>
    <w:rsid w:val="00EF4513"/>
    <w:pPr>
      <w:keepNext/>
      <w:outlineLvl w:val="1"/>
    </w:pPr>
    <w:rPr>
      <w:rFonts w:ascii="Times New Roman" w:eastAsia="Times New Roman" w:hAnsi="Times New Roman" w:cs="Times New Roman"/>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EF"/>
    <w:rPr>
      <w:szCs w:val="18"/>
    </w:rPr>
  </w:style>
  <w:style w:type="character" w:customStyle="1" w:styleId="BalloonTextChar">
    <w:name w:val="Balloon Text Char"/>
    <w:basedOn w:val="DefaultParagraphFont"/>
    <w:link w:val="BalloonText"/>
    <w:uiPriority w:val="99"/>
    <w:semiHidden/>
    <w:rsid w:val="00425CEF"/>
    <w:rPr>
      <w:rFonts w:asciiTheme="minorHAnsi" w:hAnsiTheme="minorHAnsi"/>
      <w:sz w:val="24"/>
      <w:szCs w:val="18"/>
    </w:rPr>
  </w:style>
  <w:style w:type="paragraph" w:styleId="FootnoteText">
    <w:name w:val="footnote text"/>
    <w:basedOn w:val="Normal"/>
    <w:link w:val="FootnoteTextChar"/>
    <w:unhideWhenUsed/>
    <w:rsid w:val="00C470AF"/>
    <w:rPr>
      <w:sz w:val="20"/>
    </w:rPr>
  </w:style>
  <w:style w:type="character" w:customStyle="1" w:styleId="FootnoteTextChar">
    <w:name w:val="Footnote Text Char"/>
    <w:basedOn w:val="DefaultParagraphFont"/>
    <w:link w:val="FootnoteText"/>
    <w:rsid w:val="00C470AF"/>
    <w:rPr>
      <w:sz w:val="20"/>
    </w:rPr>
  </w:style>
  <w:style w:type="character" w:styleId="Hyperlink">
    <w:name w:val="Hyperlink"/>
    <w:basedOn w:val="DefaultParagraphFont"/>
    <w:rsid w:val="00EF4513"/>
    <w:rPr>
      <w:color w:val="0000FF"/>
      <w:u w:val="single"/>
    </w:rPr>
  </w:style>
  <w:style w:type="character" w:customStyle="1" w:styleId="Heading2Char">
    <w:name w:val="Heading 2 Char"/>
    <w:basedOn w:val="DefaultParagraphFont"/>
    <w:link w:val="Heading2"/>
    <w:rsid w:val="00EF4513"/>
    <w:rPr>
      <w:rFonts w:ascii="Times New Roman" w:eastAsia="Times New Roman" w:hAnsi="Times New Roman" w:cs="Times New Roman"/>
      <w:sz w:val="28"/>
      <w:lang w:val="en-GB" w:eastAsia="en-US"/>
    </w:rPr>
  </w:style>
  <w:style w:type="paragraph" w:styleId="ListParagraph">
    <w:name w:val="List Paragraph"/>
    <w:basedOn w:val="Normal"/>
    <w:uiPriority w:val="34"/>
    <w:qFormat/>
    <w:rsid w:val="00EF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briziocilento.com/wordpress/wp-content/uploads/2013/04/Even-the-Rain.pdf" TargetMode="External"/><Relationship Id="rId7" Type="http://schemas.openxmlformats.org/officeDocument/2006/relationships/hyperlink" Target="http://criticalatinoamericana.com/repensando-la-resistencia-popular-en-la-bolivia-contemporanea-resena-de-la-pelicula-tambien-la-lluvia/" TargetMode="External"/><Relationship Id="rId8" Type="http://schemas.openxmlformats.org/officeDocument/2006/relationships/hyperlink" Target="http://fabriziocilento.com/wordpress/wp-content/uploads/2013/04/Even-the-Rain.pdf" TargetMode="External"/><Relationship Id="rId9" Type="http://schemas.openxmlformats.org/officeDocument/2006/relationships/hyperlink" Target="http://www.jstor.org/stable/23266233" TargetMode="External"/><Relationship Id="rId10" Type="http://schemas.openxmlformats.org/officeDocument/2006/relationships/hyperlink" Target="http://revistes.ub.edu/index.php/lectora/article/view/7264/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1296</Words>
  <Characters>6898</Characters>
  <Application>Microsoft Macintosh Word</Application>
  <DocSecurity>0</DocSecurity>
  <Lines>109</Lines>
  <Paragraphs>8</Paragraphs>
  <ScaleCrop>false</ScaleCrop>
  <Company>University of Cambridge</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Page</dc:creator>
  <cp:keywords/>
  <dc:description/>
  <cp:lastModifiedBy>Joanna Page</cp:lastModifiedBy>
  <cp:revision>7</cp:revision>
  <dcterms:created xsi:type="dcterms:W3CDTF">2015-01-25T06:42:00Z</dcterms:created>
  <dcterms:modified xsi:type="dcterms:W3CDTF">2015-02-12T10:34:00Z</dcterms:modified>
</cp:coreProperties>
</file>